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w:t>
      </w:r>
      <w:del w:id="0" w:author="Heng Wang" w:date="2021-11-19T11:10:56Z">
        <w:r>
          <w:rPr>
            <w:rFonts w:hint="default" w:eastAsia="宋体"/>
            <w:b/>
            <w:i/>
            <w:sz w:val="28"/>
            <w:lang w:val="en-US" w:eastAsia="zh-CN"/>
          </w:rPr>
          <w:delText>010</w:delText>
        </w:r>
      </w:del>
      <w:r>
        <w:rPr>
          <w:b/>
          <w:i/>
          <w:sz w:val="28"/>
        </w:rPr>
        <w:fldChar w:fldCharType="end"/>
      </w:r>
      <w:ins w:id="1" w:author="Heng Wang" w:date="2021-11-19T11:10:56Z">
        <w:r>
          <w:rPr>
            <w:rFonts w:hint="eastAsia" w:eastAsia="宋体"/>
            <w:b/>
            <w:i/>
            <w:sz w:val="28"/>
            <w:lang w:val="en-US" w:eastAsia="zh-CN"/>
          </w:rPr>
          <w:t>3</w:t>
        </w:r>
      </w:ins>
      <w:ins w:id="2" w:author="Heng Wang" w:date="2021-11-19T11:10:58Z">
        <w:r>
          <w:rPr>
            <w:rFonts w:hint="eastAsia" w:eastAsia="宋体"/>
            <w:b/>
            <w:i/>
            <w:sz w:val="28"/>
            <w:lang w:val="en-US" w:eastAsia="zh-CN"/>
          </w:rPr>
          <w:t>0</w:t>
        </w:r>
      </w:ins>
      <w:ins w:id="3" w:author="Heng Wang" w:date="2021-11-19T11:10:59Z">
        <w:r>
          <w:rPr>
            <w:rFonts w:hint="eastAsia" w:eastAsia="宋体"/>
            <w:b/>
            <w:i/>
            <w:sz w:val="28"/>
            <w:lang w:val="en-US" w:eastAsia="zh-CN"/>
          </w:rPr>
          <w:t>5</w:t>
        </w:r>
      </w:ins>
    </w:p>
    <w:p>
      <w:pPr>
        <w:pBdr>
          <w:bottom w:val="single" w:color="auto" w:sz="4" w:space="1"/>
        </w:pBdr>
        <w:tabs>
          <w:tab w:val="right" w:pos="9639"/>
        </w:tabs>
        <w:rPr>
          <w:b/>
          <w:i/>
          <w:sz w:val="16"/>
        </w:rPr>
      </w:pPr>
      <w:r>
        <w:rPr>
          <w:rFonts w:ascii="Arial" w:hAnsi="Arial"/>
          <w:b/>
          <w:sz w:val="24"/>
        </w:rPr>
        <w:t>Electronic Meeting, 8 – 18 November 2021</w:t>
      </w:r>
      <w:r>
        <w:rPr>
          <w:rFonts w:ascii="Arial" w:hAnsi="Arial" w:cs="Arial"/>
          <w:b/>
        </w:rPr>
        <w:tab/>
      </w:r>
      <w:bookmarkStart w:id="4" w:name="_GoBack"/>
      <w:bookmarkEnd w:id="4"/>
      <w:r>
        <w:rPr>
          <w:rFonts w:ascii="Arial" w:hAnsi="Arial" w:cs="Arial"/>
          <w:i/>
          <w:color w:val="A6A6A6" w:themeColor="background1" w:themeShade="A6"/>
        </w:rPr>
        <w:t>(revision of S1-21</w:t>
      </w:r>
      <w:ins w:id="4" w:author="Heng Wang" w:date="2021-11-19T11:10:50Z">
        <w:r>
          <w:rPr>
            <w:rFonts w:hint="eastAsia" w:ascii="Arial" w:hAnsi="Arial" w:eastAsia="宋体" w:cs="Arial"/>
            <w:i/>
            <w:color w:val="A6A6A6" w:themeColor="background1" w:themeShade="A6"/>
            <w:lang w:val="en-US" w:eastAsia="zh-CN"/>
          </w:rPr>
          <w:t>401</w:t>
        </w:r>
      </w:ins>
      <w:ins w:id="5" w:author="Heng Wang" w:date="2021-11-19T11:10:52Z">
        <w:r>
          <w:rPr>
            <w:rFonts w:hint="eastAsia" w:ascii="Arial" w:hAnsi="Arial" w:eastAsia="宋体" w:cs="Arial"/>
            <w:i/>
            <w:color w:val="A6A6A6" w:themeColor="background1" w:themeShade="A6"/>
            <w:lang w:val="en-US" w:eastAsia="zh-CN"/>
          </w:rPr>
          <w:t>0</w:t>
        </w:r>
      </w:ins>
      <w:r>
        <w:rPr>
          <w:rFonts w:ascii="Arial" w:hAnsi="Arial" w:cs="Arial"/>
          <w:i/>
          <w:color w:val="A6A6A6" w:themeColor="background1" w:themeShade="A6"/>
        </w:rPr>
        <w:t>)</w:t>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2"/>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17</w:t>
            </w:r>
            <w:r>
              <w:rPr>
                <w:b/>
                <w:sz w:val="28"/>
              </w:rPr>
              <w:fldChar w:fldCharType="end"/>
            </w:r>
            <w: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del w:id="6" w:author="Heng Wang" w:date="2021-11-09T09:22:29Z">
              <w:r>
                <w:rPr>
                  <w:b/>
                  <w:sz w:val="28"/>
                </w:rPr>
                <w:delText>1</w:delText>
              </w:r>
            </w:del>
            <w:ins w:id="7" w:author="Heng Wang" w:date="2021-11-09T09:22:30Z">
              <w:r>
                <w:rPr>
                  <w:rFonts w:hint="eastAsia" w:eastAsia="宋体"/>
                  <w:b/>
                  <w:sz w:val="28"/>
                  <w:lang w:val="en-US" w:eastAsia="zh-CN"/>
                </w:rPr>
                <w:t>-</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Get the missing figure </w:t>
            </w:r>
            <w:r>
              <w:t>A.1-1</w:t>
            </w:r>
            <w:r>
              <w:rPr>
                <w:rFonts w:hint="eastAsia" w:eastAsia="宋体"/>
                <w:lang w:val="en-US" w:eastAsia="zh-CN"/>
              </w:rPr>
              <w:t xml:space="preserve"> back</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FS_5GSEI</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2021-</w:t>
            </w:r>
            <w:r>
              <w:rPr>
                <w:rFonts w:hint="eastAsia" w:eastAsia="宋体"/>
                <w:lang w:val="en-US" w:eastAsia="zh-CN"/>
              </w:rPr>
              <w:t>10</w:t>
            </w:r>
            <w:r>
              <w:t>-1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ins w:id="8" w:author="Heng Wang" w:date="2021-11-09T09:20:19Z">
              <w:r>
                <w:rPr>
                  <w:rFonts w:hint="eastAsia" w:eastAsia="宋体"/>
                  <w:lang w:val="en-US" w:eastAsia="zh-CN"/>
                </w:rPr>
                <w:t>F</w:t>
              </w:r>
            </w:ins>
            <w:del w:id="9" w:author="Heng Wang" w:date="2021-11-09T09:20:25Z">
              <w:r>
                <w:rPr>
                  <w:rFonts w:hint="eastAsia" w:eastAsia="宋体"/>
                  <w:lang w:val="en-US" w:eastAsia="zh-CN"/>
                </w:rPr>
                <w:delText>D</w:delText>
              </w:r>
            </w:del>
            <w:r>
              <w:fldChar w:fldCharType="begin"/>
            </w:r>
            <w:r>
              <w:instrText xml:space="preserve"> DOCPROPERTY  Cat  \* MERGEFORMAT </w:instrText>
            </w:r>
            <w: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Figure </w:t>
            </w:r>
            <w:r>
              <w:t>A.1-1</w:t>
            </w:r>
            <w:r>
              <w:rPr>
                <w:rFonts w:hint="eastAsia" w:eastAsia="宋体"/>
                <w:lang w:val="en-US" w:eastAsia="zh-CN"/>
              </w:rPr>
              <w:t xml:space="preserve"> is missing in the latest version, which should be fixed.</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Refill Figure A.1-1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Figure </w:t>
            </w:r>
            <w:r>
              <w:t>A.1-1</w:t>
            </w:r>
            <w:r>
              <w:rPr>
                <w:rFonts w:hint="eastAsia" w:eastAsia="宋体"/>
                <w:lang w:val="en-US" w:eastAsia="zh-CN"/>
              </w:rPr>
              <w:t xml:space="preserve"> is still missing</w:t>
            </w:r>
            <w:r>
              <w:t xml:space="preserve"> in the TR.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83799432"/>
      <w:bookmarkStart w:id="2" w:name="_Toc74230213"/>
      <w:bookmarkStart w:id="3" w:name="_Toc74229607"/>
      <w:r>
        <w:t>A.1</w:t>
      </w:r>
      <w:r>
        <w:tab/>
      </w:r>
      <w:r>
        <w:t>Description</w:t>
      </w:r>
      <w:bookmarkEnd w:id="1"/>
      <w:bookmarkEnd w:id="2"/>
      <w:bookmarkEnd w:id="3"/>
    </w:p>
    <w:p>
      <w:r>
        <w:t xml:space="preserve">The topic of this annex is transport networks, normally out of scope of 3GPP standardization. For this reason, the material is provided as an informative annex. </w:t>
      </w:r>
    </w:p>
    <w:p>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p>
    <w:p>
      <w:r>
        <w:t>This is a relevant use case for smart energy because there are many facilities in the energy system which are either underground or inside structures that have thick walls with little or no ability for transmissions to penetrate.</w:t>
      </w:r>
    </w:p>
    <w:p>
      <w:r>
        <w:t>There are essentially three possible approaches – as shown in Figure A.1-1, below.</w:t>
      </w:r>
    </w:p>
    <w:p>
      <w:pPr>
        <w:pStyle w:val="55"/>
        <w:rPr>
          <w:rFonts w:eastAsia="Calibri"/>
        </w:rPr>
      </w:pPr>
      <w:ins w:id="10" w:author="Heng Wang" w:date="2021-10-11T14:23:50Z">
        <w:r>
          <w:rPr>
            <w:rFonts w:eastAsia="Calibri"/>
            <w:lang w:val="en-US" w:eastAsia="zh-CN"/>
          </w:rPr>
          <w:drawing>
            <wp:inline distT="0" distB="0" distL="0" distR="0">
              <wp:extent cx="2085975" cy="2362200"/>
              <wp:effectExtent l="0" t="0" r="9525" b="0"/>
              <wp:docPr id="15"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C:\Users\erik.guttman.CORP\AppData\Local\Microsoft\Windows\INetCache\Content.Word\underground-acces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5975" cy="2362200"/>
                      </a:xfrm>
                      <a:prstGeom prst="rect">
                        <a:avLst/>
                      </a:prstGeom>
                      <a:noFill/>
                      <a:ln>
                        <a:noFill/>
                      </a:ln>
                    </pic:spPr>
                  </pic:pic>
                </a:graphicData>
              </a:graphic>
            </wp:inline>
          </w:drawing>
        </w:r>
      </w:ins>
    </w:p>
    <w:p>
      <w:pPr>
        <w:pStyle w:val="54"/>
      </w:pPr>
      <w:r>
        <w:t>Figure A.1-1: Underground Access Approaches</w:t>
      </w:r>
    </w:p>
    <w:p>
      <w:pPr>
        <w:tabs>
          <w:tab w:val="left" w:pos="527"/>
        </w:tabs>
      </w:pPr>
      <w:r>
        <w:t xml:space="preserve">The radio access on the roof can be </w:t>
      </w:r>
      <w:r>
        <w:rPr>
          <w:b/>
        </w:rPr>
        <w:t>extended inside</w:t>
      </w:r>
      <w:r>
        <w:t xml:space="preserve"> by means of a cable as shown in pink (e.g. coaxial cable, with support hardware) to provide radio access to an indoor station (on the lower right, underground.) </w:t>
      </w:r>
    </w:p>
    <w:p>
      <w:r>
        <w:t xml:space="preserve">Another approach is to provide a </w:t>
      </w:r>
      <w:r>
        <w:rPr>
          <w:b/>
        </w:rPr>
        <w:t>gateway</w:t>
      </w:r>
      <w:r>
        <w:t xml:space="preserve"> </w:t>
      </w:r>
      <w:r>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p>
    <w:p>
      <w:r>
        <w:t xml:space="preserve">The third approach is to make use of the existing </w:t>
      </w:r>
      <w:r>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p>
    <w:p>
      <w:r>
        <w:t>Two prominent examples are Open PLC European Research Alliance (OPERA) [16] and G.9960 [17], which are used for support of Ethernet functionality over medium and low voltage power lines in a restricted range. In OPERA, information is modulated using OFDM with a set of 1536 sub-carriers. Effectively, this network provides an Ethernet over a power-line. G.9960 achieves PHY data rates up to 20 Mbit/s and highly robust communications with PHY bit rates up to 5 Mbit/s (using 4x repetition encoding.) 3GPP components can be integrated above this layer two standard that carries Ethernet frames.</w:t>
      </w:r>
    </w:p>
    <w:p>
      <w:r>
        <w:t>OPERA achieves PHY data rates of up to 200 Mbit/s with a bandwidth of 30 MHz (this is typically not achieved in practice. Implementation is done in either 5 MHz or 10 MHz channels with much lower maximum PHY bit rate up to 40 Mbit/s and 80 Mbit/s respectively), for medium voltage (MV) cables. These throughput levels are not achievable at all in low voltage (LV) scenarios in which medium conditions are different to MV</w:t>
      </w:r>
      <w:r>
        <w:rPr>
          <w:rFonts w:eastAsia="Calibri"/>
        </w:rPr>
        <w:t>'</w:t>
      </w:r>
      <w:r>
        <w:t>s. (This is an area of current development at the time this document was written, with researchers currently performing tests to evaluate the LV scenario.) The evolution of Ghn defined in ITU standard G.9960 might be more adequate for LV broadband power line (BPL) and for this use case (use of the LV cabling within a building) because it was specifically defined for domestic cables.</w:t>
      </w:r>
    </w:p>
    <w:p>
      <w:pPr>
        <w:tabs>
          <w:tab w:val="left" w:pos="527"/>
        </w:tabs>
      </w:pPr>
      <w:r>
        <w:t>Whereas adding a cable for range extension through a structure or wireless extension topologies entail extra planning, materials and complexity, power lines already exist in all (modern) structures.</w:t>
      </w: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0CC00EDB"/>
    <w:rsid w:val="11D13E95"/>
    <w:rsid w:val="160577BE"/>
    <w:rsid w:val="2FDC4933"/>
    <w:rsid w:val="36514B98"/>
    <w:rsid w:val="390171DA"/>
    <w:rsid w:val="39536478"/>
    <w:rsid w:val="3DF07877"/>
    <w:rsid w:val="43922B20"/>
    <w:rsid w:val="50524F7D"/>
    <w:rsid w:val="51DF4444"/>
    <w:rsid w:val="57333D75"/>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11</TotalTime>
  <ScaleCrop>false</ScaleCrop>
  <LinksUpToDate>false</LinksUpToDate>
  <CharactersWithSpaces>2449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2021-11-19T03:16:37Z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2052-11.1.0.11045</vt:lpwstr>
  </property>
  <property fmtid="{D5CDD505-2E9C-101B-9397-08002B2CF9AE}" pid="22" name="ICV">
    <vt:lpwstr>4ECAE828CAB54F119ECF15ECC56636BA</vt:lpwstr>
  </property>
</Properties>
</file>